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E4AC" w14:textId="0A2EC203" w:rsidR="00956DBB" w:rsidRPr="00C12302" w:rsidRDefault="00956DBB" w:rsidP="00AB402D">
      <w:pPr>
        <w:spacing w:after="0"/>
        <w:rPr>
          <w:b/>
          <w:bCs/>
          <w:sz w:val="32"/>
          <w:szCs w:val="32"/>
        </w:rPr>
      </w:pPr>
      <w:r w:rsidRPr="00C12302">
        <w:rPr>
          <w:b/>
          <w:bCs/>
          <w:sz w:val="32"/>
          <w:szCs w:val="32"/>
        </w:rPr>
        <w:t xml:space="preserve">Zveřejnění informací o výsledcích vykonaných kontrol, kontrolní </w:t>
      </w:r>
    </w:p>
    <w:p w14:paraId="13907DDE" w14:textId="77777777" w:rsidR="00943764" w:rsidRDefault="00956DBB" w:rsidP="00C12302">
      <w:pPr>
        <w:spacing w:after="0"/>
        <w:rPr>
          <w:b/>
          <w:bCs/>
          <w:sz w:val="32"/>
          <w:szCs w:val="32"/>
        </w:rPr>
      </w:pPr>
      <w:r w:rsidRPr="00C12302">
        <w:rPr>
          <w:b/>
          <w:bCs/>
          <w:sz w:val="32"/>
          <w:szCs w:val="32"/>
        </w:rPr>
        <w:t xml:space="preserve">činnosti živnostenského odboru Úřadu městské části Praha 21 </w:t>
      </w:r>
    </w:p>
    <w:p w14:paraId="0AF8657E" w14:textId="5E808FF8" w:rsidR="00956DBB" w:rsidRPr="00C12302" w:rsidRDefault="00956DBB" w:rsidP="00C12302">
      <w:pPr>
        <w:spacing w:after="0"/>
        <w:rPr>
          <w:b/>
          <w:bCs/>
          <w:sz w:val="32"/>
          <w:szCs w:val="32"/>
        </w:rPr>
      </w:pPr>
      <w:r w:rsidRPr="00C12302">
        <w:rPr>
          <w:b/>
          <w:bCs/>
          <w:sz w:val="32"/>
          <w:szCs w:val="32"/>
        </w:rPr>
        <w:t>v Újezdě nad Lesy za rok 20</w:t>
      </w:r>
      <w:r w:rsidR="003D4470">
        <w:rPr>
          <w:b/>
          <w:bCs/>
          <w:sz w:val="32"/>
          <w:szCs w:val="32"/>
        </w:rPr>
        <w:t>2</w:t>
      </w:r>
      <w:r w:rsidR="002B6A94">
        <w:rPr>
          <w:b/>
          <w:bCs/>
          <w:sz w:val="32"/>
          <w:szCs w:val="32"/>
        </w:rPr>
        <w:t>2</w:t>
      </w:r>
      <w:r w:rsidRPr="00C12302">
        <w:rPr>
          <w:b/>
          <w:bCs/>
          <w:sz w:val="32"/>
          <w:szCs w:val="32"/>
        </w:rPr>
        <w:t xml:space="preserve"> v souladu s § 26 zákona č. 255/2012 Sb., zákon o kontrole, v platném znění.  </w:t>
      </w:r>
    </w:p>
    <w:p w14:paraId="765A4C51" w14:textId="77777777" w:rsidR="009B5F67" w:rsidRDefault="009B5F67" w:rsidP="009B5F67"/>
    <w:p w14:paraId="3F6D17E0" w14:textId="5C36FBA7" w:rsidR="00BF0332" w:rsidRDefault="00BF0332" w:rsidP="00BF0332">
      <w:pPr>
        <w:spacing w:after="0"/>
      </w:pPr>
      <w:r>
        <w:t xml:space="preserve">Živnostenský úřad vykonává živnostenskou kontrolu na základě zmocnění uvedeném v § 2 odst. 1 zákona </w:t>
      </w:r>
      <w:r w:rsidR="00BD60D4">
        <w:t>č</w:t>
      </w:r>
      <w:r>
        <w:t xml:space="preserve">. 570/1991 Sb., o živnostenských úřadech, v rozsahu vymezeném ustanovením § 60 a, a § 69 a zákona </w:t>
      </w:r>
      <w:r w:rsidR="00BD60D4">
        <w:t>č</w:t>
      </w:r>
      <w:r>
        <w:t xml:space="preserve">. 455/1991 Sb., o živnostenském podnikání, ve znění pozdějších předpisů. </w:t>
      </w:r>
    </w:p>
    <w:p w14:paraId="1CC36FF2" w14:textId="1326FDEE" w:rsidR="00D33311" w:rsidRDefault="00BF0332" w:rsidP="00BF0332">
      <w:r>
        <w:t xml:space="preserve">Dále živnostenský úřad provádí dozor v oblastech právní úpravy jako je </w:t>
      </w:r>
      <w:r w:rsidR="00D33311">
        <w:t>např.:</w:t>
      </w:r>
    </w:p>
    <w:p w14:paraId="6019AAC5" w14:textId="46FA990E" w:rsidR="00BF0332" w:rsidRDefault="00D33311" w:rsidP="00BF0332">
      <w:r>
        <w:t xml:space="preserve">kontroly dodržování </w:t>
      </w:r>
      <w:r w:rsidR="00BF0332">
        <w:t xml:space="preserve"> předpisů, zákon</w:t>
      </w:r>
      <w:r w:rsidR="002B6A94">
        <w:t>a</w:t>
      </w:r>
      <w:r w:rsidR="00BF0332">
        <w:t xml:space="preserve"> </w:t>
      </w:r>
      <w:r w:rsidR="001B7A7D">
        <w:t>č</w:t>
      </w:r>
      <w:r w:rsidR="00BF0332">
        <w:t xml:space="preserve">. 634/1992 Sb., o ochraně spotřebitele, ve znění pozdějších  předpisů, zákon č. 353/2003 Sb., o spotřebních daních, ve znění pozdějších předpisů, zákon č. 307/2013 Sb., o povinném značení lihu, ve znění pozdějších předpisů, zákon č. 159/1999 Sb., o některých podmínkách podnikání v oblasti cestovního ruchu, ve znění pozdějších předpisů, zákon č. </w:t>
      </w:r>
      <w:r w:rsidR="003E448D">
        <w:t>65/2017</w:t>
      </w:r>
      <w:r w:rsidR="00BF0332">
        <w:t xml:space="preserve"> Sb., o opatřeních k ochraně </w:t>
      </w:r>
      <w:r w:rsidR="00170DCF">
        <w:t>zdraví před škodlivými účinky způsobenými tabákovými výrobky, alkoholem a jinými návykovými</w:t>
      </w:r>
      <w:r w:rsidR="00BF0332">
        <w:t xml:space="preserve"> látkami a o změně souvisejících zákonů, ve znění pozdějších předpisů, zákon č. 252/1997 Sb., o zemědělství, ve znění pozdějších předpisů. </w:t>
      </w:r>
    </w:p>
    <w:p w14:paraId="53B92D18" w14:textId="6E0F11A2" w:rsidR="00BF0332" w:rsidRDefault="00BF0332" w:rsidP="00BF0332">
      <w:r>
        <w:t>Kontrolní orgán vykonával svou kontrolní činnost na základě podnětů institucí veřejné správy a správních orgánů, zejména se zabýval podněty podanými občany</w:t>
      </w:r>
      <w:r w:rsidR="005B7A4F">
        <w:t xml:space="preserve"> (rušení nočního klidu, </w:t>
      </w:r>
      <w:r w:rsidR="00FF3516">
        <w:t xml:space="preserve">odstranění </w:t>
      </w:r>
      <w:r w:rsidR="003F3579">
        <w:t>odpadků)</w:t>
      </w:r>
      <w:r>
        <w:t>. Prováděl namátkové kontroly na tržn</w:t>
      </w:r>
      <w:r w:rsidR="00197949">
        <w:t>í</w:t>
      </w:r>
      <w:r>
        <w:t>ch</w:t>
      </w:r>
      <w:r w:rsidR="00197949">
        <w:t xml:space="preserve"> místech</w:t>
      </w:r>
      <w:r>
        <w:t xml:space="preserve">, jednorázových prodejních akcích i periodické kontroly supermarketů. Živnostenský úřad prováděl kontrolu sídel (doložení právního důvodu k užívání prostor) fyzických a právnických osob. Ve spolupráci s MHMP živnostenský odbor provedl kontroly na ubytovací služby v našem obvodu ve spojitosti s poskytováním služeb AIRBNB. </w:t>
      </w:r>
    </w:p>
    <w:p w14:paraId="0203D048" w14:textId="4D71C338" w:rsidR="00BF0332" w:rsidRDefault="00BF0332" w:rsidP="00BF0332">
      <w:r>
        <w:t>U fyzických osob pak nejčastěji při změně bydliště podnikatele, pokud bylo odlišné od sídla – místa podnikání. Kontrolní orgán živnostenského úřadu</w:t>
      </w:r>
      <w:r w:rsidR="00FF3516">
        <w:t>, vzhledem k epidemiologické situaci loňského roku</w:t>
      </w:r>
      <w:r w:rsidR="001B7A7D">
        <w:t>,</w:t>
      </w:r>
      <w:r w:rsidR="00FF3516">
        <w:t xml:space="preserve"> </w:t>
      </w:r>
      <w:r>
        <w:t xml:space="preserve">provedl </w:t>
      </w:r>
      <w:r w:rsidR="002B6A94">
        <w:t>pouze dvě</w:t>
      </w:r>
      <w:r>
        <w:t xml:space="preserve"> kontrol</w:t>
      </w:r>
      <w:r w:rsidR="000F5E59">
        <w:t>y</w:t>
      </w:r>
      <w:r>
        <w:t xml:space="preserve"> ve spolupráci s Českou obchodní inspekcí. Živnostenský úřad ÚMČ Praha 21 spolupracoval s jinými orgány státní správy, finančními úřady, úřady práce, správou sociálního zabezpečení, zdravotními pojišťovnami, městskou policií, policií ČR, Inspektorátem práce a cizineckou policií například v dohledávání cizinců poskytujících služby společnosti UBER. </w:t>
      </w:r>
    </w:p>
    <w:p w14:paraId="675A1679" w14:textId="77777777" w:rsidR="00BF0332" w:rsidRDefault="00BF0332" w:rsidP="00BF0332">
      <w:pPr>
        <w:rPr>
          <w:b/>
          <w:bCs/>
          <w:sz w:val="28"/>
          <w:szCs w:val="28"/>
        </w:rPr>
      </w:pPr>
    </w:p>
    <w:p w14:paraId="4F49F510" w14:textId="77777777" w:rsidR="000B358D" w:rsidRPr="000B358D" w:rsidRDefault="000B358D" w:rsidP="000B358D">
      <w:pPr>
        <w:rPr>
          <w:b/>
          <w:bCs/>
          <w:sz w:val="28"/>
          <w:szCs w:val="28"/>
        </w:rPr>
      </w:pPr>
      <w:r w:rsidRPr="000B358D">
        <w:rPr>
          <w:b/>
          <w:bCs/>
          <w:sz w:val="28"/>
          <w:szCs w:val="28"/>
        </w:rPr>
        <w:t xml:space="preserve">Státní odborný dozor v oblasti silniční dopravy podle zákona Č. 111/1994 Sb., o silniční dopravě:  </w:t>
      </w:r>
    </w:p>
    <w:p w14:paraId="56FF4F3B" w14:textId="09C1CC46" w:rsidR="000B358D" w:rsidRDefault="000B358D" w:rsidP="00BF0332">
      <w:r w:rsidRPr="008A5E90">
        <w:rPr>
          <w:b/>
          <w:bCs/>
        </w:rPr>
        <w:t xml:space="preserve">Nejčastější zjištěná pochybení: </w:t>
      </w:r>
    </w:p>
    <w:p w14:paraId="1B8F645A" w14:textId="4A0B33D0" w:rsidR="000B358D" w:rsidRDefault="000F5E59" w:rsidP="00BF0332">
      <w:r>
        <w:t>P</w:t>
      </w:r>
      <w:r w:rsidR="000B358D">
        <w:t>odnikatelé v</w:t>
      </w:r>
      <w:r w:rsidR="00FD0F83">
        <w:t> </w:t>
      </w:r>
      <w:r w:rsidR="000B358D">
        <w:t>dopravě</w:t>
      </w:r>
      <w:r w:rsidR="00FD0F83">
        <w:t xml:space="preserve"> (</w:t>
      </w:r>
      <w:r w:rsidR="000B358D">
        <w:t xml:space="preserve">evidujeme </w:t>
      </w:r>
      <w:r w:rsidR="007F77D3">
        <w:t>38</w:t>
      </w:r>
      <w:r w:rsidR="000B358D">
        <w:t xml:space="preserve"> aktivních podnikatelů </w:t>
      </w:r>
      <w:r w:rsidR="00197949">
        <w:t>s vozidly nad 3</w:t>
      </w:r>
      <w:r w:rsidR="001B7A7D">
        <w:t>,</w:t>
      </w:r>
      <w:r w:rsidR="00197949">
        <w:t>5 t</w:t>
      </w:r>
      <w:r w:rsidR="003443D6">
        <w:t>.</w:t>
      </w:r>
      <w:r w:rsidR="00FD0F83">
        <w:t>)</w:t>
      </w:r>
      <w:r w:rsidR="002B6A94">
        <w:t xml:space="preserve"> mají povinnost doložit finanční způsobilost</w:t>
      </w:r>
      <w:r w:rsidR="000B358D">
        <w:t xml:space="preserve"> </w:t>
      </w:r>
      <w:r w:rsidR="002B6A94">
        <w:t xml:space="preserve">každý rok do konce července. Z počtu </w:t>
      </w:r>
      <w:r w:rsidR="007F77D3">
        <w:t>38</w:t>
      </w:r>
      <w:r w:rsidR="002B6A94">
        <w:t xml:space="preserve"> podnikatelů nedoložili pouze dva podnikatelé jinak </w:t>
      </w:r>
      <w:r w:rsidR="000B358D">
        <w:t>doložil</w:t>
      </w:r>
      <w:r w:rsidR="00BF0332">
        <w:t>i</w:t>
      </w:r>
      <w:r w:rsidR="00197949">
        <w:t xml:space="preserve"> všichni</w:t>
      </w:r>
      <w:r w:rsidR="000B358D">
        <w:t xml:space="preserve"> </w:t>
      </w:r>
      <w:r w:rsidR="00FD0F83">
        <w:t xml:space="preserve">v zákonem stanovené lhůtě </w:t>
      </w:r>
      <w:r w:rsidR="000B358D">
        <w:t>finanční způsobilost. To znamená</w:t>
      </w:r>
      <w:r w:rsidR="00BF0332">
        <w:t>,</w:t>
      </w:r>
      <w:r w:rsidR="000B358D">
        <w:t xml:space="preserve"> že </w:t>
      </w:r>
      <w:r w:rsidR="003443D6">
        <w:t>před</w:t>
      </w:r>
      <w:r w:rsidR="000B358D">
        <w:t>loňské nejčastější porušení zákona</w:t>
      </w:r>
      <w:r w:rsidR="00BF0332">
        <w:t>, tj. n</w:t>
      </w:r>
      <w:r w:rsidR="000B358D">
        <w:t>edoložení finanční způsobilosti, které vedlo ke změně rozsahu předmětu podnikání (snížení hmotnosti do 3</w:t>
      </w:r>
      <w:r w:rsidR="00BF0332">
        <w:t>,</w:t>
      </w:r>
      <w:r w:rsidR="000B358D">
        <w:t>5 t</w:t>
      </w:r>
      <w:r w:rsidR="00BF0332">
        <w:t>uny</w:t>
      </w:r>
      <w:r w:rsidR="000B358D">
        <w:t xml:space="preserve">) </w:t>
      </w:r>
      <w:r w:rsidR="00BF0332">
        <w:t xml:space="preserve">nebo ke zrušení koncese, </w:t>
      </w:r>
      <w:r w:rsidR="0081086F">
        <w:t>se v loni</w:t>
      </w:r>
      <w:r w:rsidR="000B358D">
        <w:t xml:space="preserve"> neopakovalo.</w:t>
      </w:r>
      <w:r w:rsidR="00197949">
        <w:t xml:space="preserve"> </w:t>
      </w:r>
      <w:r w:rsidR="0081086F">
        <w:t>Se dvěma dotčenými podnikateli bylo zahájeno s</w:t>
      </w:r>
      <w:r w:rsidR="004121BC">
        <w:t>p</w:t>
      </w:r>
      <w:r w:rsidR="0081086F">
        <w:t xml:space="preserve">rávní řízení o zrušení části koncese. </w:t>
      </w:r>
      <w:r w:rsidR="002B6A94">
        <w:t xml:space="preserve">  </w:t>
      </w:r>
      <w:r w:rsidR="00197949">
        <w:t xml:space="preserve">Autobusová osobní </w:t>
      </w:r>
      <w:r w:rsidR="003F3579">
        <w:t>doprava v</w:t>
      </w:r>
      <w:r w:rsidR="00197949">
        <w:t xml:space="preserve"> loňském roce </w:t>
      </w:r>
      <w:r>
        <w:t>poklesla</w:t>
      </w:r>
      <w:r w:rsidR="00197949">
        <w:t xml:space="preserve"> na </w:t>
      </w:r>
      <w:r w:rsidR="007F77D3">
        <w:t>4</w:t>
      </w:r>
      <w:r w:rsidR="00197949">
        <w:t xml:space="preserve"> </w:t>
      </w:r>
      <w:r w:rsidR="00170DCF">
        <w:t>podnikatele, to</w:t>
      </w:r>
      <w:r w:rsidR="00197949">
        <w:t xml:space="preserve"> malá doprava (nákladní do 3,5t a osobní do 9 osob</w:t>
      </w:r>
      <w:r w:rsidR="007F77D3">
        <w:t xml:space="preserve"> a mezinárodní nákladní doprava nepřesahující 2.5 t.</w:t>
      </w:r>
      <w:r w:rsidR="00197949">
        <w:t>)</w:t>
      </w:r>
      <w:r>
        <w:t xml:space="preserve"> se nadále</w:t>
      </w:r>
      <w:r w:rsidR="00170DCF">
        <w:t xml:space="preserve"> udržuje</w:t>
      </w:r>
      <w:r w:rsidR="007F77D3">
        <w:t xml:space="preserve"> na rekordních 241 koncesí</w:t>
      </w:r>
      <w:r w:rsidR="003443D6">
        <w:t xml:space="preserve">. </w:t>
      </w:r>
    </w:p>
    <w:p w14:paraId="68232951" w14:textId="77777777" w:rsidR="000B358D" w:rsidRPr="000B358D" w:rsidRDefault="000B358D" w:rsidP="000B358D">
      <w:pPr>
        <w:rPr>
          <w:b/>
          <w:bCs/>
          <w:sz w:val="28"/>
          <w:szCs w:val="28"/>
        </w:rPr>
      </w:pPr>
      <w:r>
        <w:lastRenderedPageBreak/>
        <w:t xml:space="preserve"> </w:t>
      </w:r>
      <w:r w:rsidRPr="000B358D">
        <w:rPr>
          <w:b/>
          <w:bCs/>
          <w:sz w:val="28"/>
          <w:szCs w:val="28"/>
        </w:rPr>
        <w:t xml:space="preserve">Kontroly dle zákona č. 455/1991 Sb., o živnostenském podnikání  </w:t>
      </w:r>
    </w:p>
    <w:p w14:paraId="7BA6F932" w14:textId="77777777" w:rsidR="009B5F67" w:rsidRDefault="009B5F67" w:rsidP="009B5F67">
      <w:pPr>
        <w:ind w:left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70"/>
        <w:gridCol w:w="1268"/>
        <w:gridCol w:w="1045"/>
        <w:gridCol w:w="879"/>
      </w:tblGrid>
      <w:tr w:rsidR="00C16FAA" w14:paraId="1140DB1B" w14:textId="77777777" w:rsidTr="00C16FAA">
        <w:trPr>
          <w:trHeight w:val="135"/>
        </w:trPr>
        <w:tc>
          <w:tcPr>
            <w:tcW w:w="0" w:type="auto"/>
            <w:vMerge w:val="restart"/>
          </w:tcPr>
          <w:p w14:paraId="4FB2EA86" w14:textId="77777777" w:rsidR="00C16FAA" w:rsidRDefault="00956DBB" w:rsidP="00C16FAA">
            <w:pPr>
              <w:jc w:val="center"/>
            </w:pPr>
            <w:r>
              <w:t xml:space="preserve"> </w:t>
            </w:r>
            <w:r w:rsidR="00C16FAA">
              <w:t>Předmět (oblast) kontroly</w:t>
            </w:r>
          </w:p>
        </w:tc>
        <w:tc>
          <w:tcPr>
            <w:tcW w:w="0" w:type="auto"/>
          </w:tcPr>
          <w:p w14:paraId="1DDBFE28" w14:textId="77777777" w:rsidR="00C16FAA" w:rsidRDefault="00C16FAA" w:rsidP="00C16FAA">
            <w:pPr>
              <w:jc w:val="center"/>
            </w:pPr>
            <w:r>
              <w:t>Právnické osoby</w:t>
            </w:r>
          </w:p>
        </w:tc>
        <w:tc>
          <w:tcPr>
            <w:tcW w:w="0" w:type="auto"/>
          </w:tcPr>
          <w:p w14:paraId="1BB21874" w14:textId="77777777" w:rsidR="00C16FAA" w:rsidRDefault="00C16FAA" w:rsidP="00C16FAA">
            <w:pPr>
              <w:jc w:val="center"/>
            </w:pPr>
            <w:r>
              <w:t>Fyzické osoby</w:t>
            </w:r>
          </w:p>
        </w:tc>
        <w:tc>
          <w:tcPr>
            <w:tcW w:w="0" w:type="auto"/>
          </w:tcPr>
          <w:p w14:paraId="1A60DE67" w14:textId="77777777" w:rsidR="00C16FAA" w:rsidRDefault="00C16FAA" w:rsidP="00C16FAA">
            <w:pPr>
              <w:jc w:val="center"/>
            </w:pPr>
            <w:r>
              <w:t>Celkem</w:t>
            </w:r>
          </w:p>
        </w:tc>
      </w:tr>
      <w:tr w:rsidR="00C16FAA" w14:paraId="3B933159" w14:textId="77777777" w:rsidTr="004B4D75">
        <w:trPr>
          <w:trHeight w:val="135"/>
        </w:trPr>
        <w:tc>
          <w:tcPr>
            <w:tcW w:w="0" w:type="auto"/>
            <w:vMerge/>
          </w:tcPr>
          <w:p w14:paraId="00224B71" w14:textId="77777777" w:rsidR="00C16FAA" w:rsidRDefault="00C16FAA" w:rsidP="00956DBB"/>
        </w:tc>
        <w:tc>
          <w:tcPr>
            <w:tcW w:w="0" w:type="auto"/>
            <w:gridSpan w:val="3"/>
          </w:tcPr>
          <w:p w14:paraId="3EB4DD1B" w14:textId="77777777" w:rsidR="00C16FAA" w:rsidRDefault="00C16FAA" w:rsidP="00C16FAA">
            <w:pPr>
              <w:jc w:val="center"/>
            </w:pPr>
            <w:r>
              <w:t>počet provedených kontrol</w:t>
            </w:r>
          </w:p>
        </w:tc>
      </w:tr>
      <w:tr w:rsidR="00C16FAA" w14:paraId="1CB6FC2A" w14:textId="77777777" w:rsidTr="00C16FAA">
        <w:tc>
          <w:tcPr>
            <w:tcW w:w="0" w:type="auto"/>
          </w:tcPr>
          <w:p w14:paraId="18D8F1B6" w14:textId="77777777" w:rsidR="00C16FAA" w:rsidRDefault="00C16FAA" w:rsidP="00956DBB">
            <w:r>
              <w:t xml:space="preserve">Zákon Č. 455/1991 Sb., o živnostenském podnikání  </w:t>
            </w:r>
          </w:p>
        </w:tc>
        <w:tc>
          <w:tcPr>
            <w:tcW w:w="0" w:type="auto"/>
          </w:tcPr>
          <w:p w14:paraId="55BD8671" w14:textId="11920299" w:rsidR="00C16FAA" w:rsidRDefault="00C05E82" w:rsidP="00956DBB">
            <w:r>
              <w:t>20</w:t>
            </w:r>
          </w:p>
        </w:tc>
        <w:tc>
          <w:tcPr>
            <w:tcW w:w="0" w:type="auto"/>
          </w:tcPr>
          <w:p w14:paraId="62DB8726" w14:textId="53809B1C" w:rsidR="00C16FAA" w:rsidRDefault="00C05E82" w:rsidP="00956DBB">
            <w:r>
              <w:t>19</w:t>
            </w:r>
          </w:p>
        </w:tc>
        <w:tc>
          <w:tcPr>
            <w:tcW w:w="0" w:type="auto"/>
          </w:tcPr>
          <w:p w14:paraId="1ADC9E70" w14:textId="23016AA3" w:rsidR="00C16FAA" w:rsidRDefault="00C05E82" w:rsidP="00956DBB">
            <w:r>
              <w:t>3</w:t>
            </w:r>
            <w:r w:rsidR="00B47D26">
              <w:t>9</w:t>
            </w:r>
          </w:p>
        </w:tc>
      </w:tr>
      <w:tr w:rsidR="00C16FAA" w14:paraId="45EDBE4B" w14:textId="77777777" w:rsidTr="00C16FAA">
        <w:tc>
          <w:tcPr>
            <w:tcW w:w="0" w:type="auto"/>
          </w:tcPr>
          <w:p w14:paraId="32F4AA0E" w14:textId="77777777" w:rsidR="00C16FAA" w:rsidRDefault="00C16FAA" w:rsidP="00956DBB">
            <w:r>
              <w:t xml:space="preserve">Zákon Č. 634/1992 Sb., o ochraně spotřebitele  </w:t>
            </w:r>
          </w:p>
        </w:tc>
        <w:tc>
          <w:tcPr>
            <w:tcW w:w="0" w:type="auto"/>
          </w:tcPr>
          <w:p w14:paraId="6F2CA9E8" w14:textId="34A3587D" w:rsidR="00C16FAA" w:rsidRDefault="00C05E82" w:rsidP="00956DBB">
            <w:r>
              <w:t>13</w:t>
            </w:r>
          </w:p>
        </w:tc>
        <w:tc>
          <w:tcPr>
            <w:tcW w:w="0" w:type="auto"/>
          </w:tcPr>
          <w:p w14:paraId="1F7F2CC8" w14:textId="78AD5F45" w:rsidR="00C16FAA" w:rsidRDefault="00C05E82" w:rsidP="00956DBB">
            <w:r>
              <w:t>17</w:t>
            </w:r>
          </w:p>
        </w:tc>
        <w:tc>
          <w:tcPr>
            <w:tcW w:w="0" w:type="auto"/>
          </w:tcPr>
          <w:p w14:paraId="6CE5C61A" w14:textId="7A5217F6" w:rsidR="00C16FAA" w:rsidRDefault="00C05E82" w:rsidP="00956DBB">
            <w:r>
              <w:t>30</w:t>
            </w:r>
          </w:p>
        </w:tc>
      </w:tr>
      <w:tr w:rsidR="00C16FAA" w14:paraId="03F42D41" w14:textId="77777777" w:rsidTr="00C16FAA">
        <w:tc>
          <w:tcPr>
            <w:tcW w:w="0" w:type="auto"/>
          </w:tcPr>
          <w:p w14:paraId="4CAA1DFC" w14:textId="5BD8E47E" w:rsidR="00C16FAA" w:rsidRDefault="00C16FAA" w:rsidP="00C16FAA">
            <w:r>
              <w:t xml:space="preserve">Zákon Č. </w:t>
            </w:r>
            <w:r w:rsidR="003E448D">
              <w:t>65</w:t>
            </w:r>
            <w:r>
              <w:t>/20</w:t>
            </w:r>
            <w:r w:rsidR="003E448D">
              <w:t>17</w:t>
            </w:r>
            <w:r>
              <w:t xml:space="preserve"> Sb., o opatřeních k ochraně před</w:t>
            </w:r>
            <w:r w:rsidR="00B20018">
              <w:t xml:space="preserve"> </w:t>
            </w:r>
            <w:r>
              <w:t xml:space="preserve">škodami působenými tabákovými výrobky, alkoholem a jinými návykovými látkami a o změně souvisejících zákonů </w:t>
            </w:r>
          </w:p>
          <w:p w14:paraId="354D251D" w14:textId="77777777" w:rsidR="00C16FAA" w:rsidRDefault="00C16FAA" w:rsidP="00956DBB"/>
        </w:tc>
        <w:tc>
          <w:tcPr>
            <w:tcW w:w="0" w:type="auto"/>
          </w:tcPr>
          <w:p w14:paraId="6B9597D5" w14:textId="307A566D" w:rsidR="00C16FAA" w:rsidRDefault="00C05E82" w:rsidP="00956DBB">
            <w:r>
              <w:t>1</w:t>
            </w:r>
          </w:p>
        </w:tc>
        <w:tc>
          <w:tcPr>
            <w:tcW w:w="0" w:type="auto"/>
          </w:tcPr>
          <w:p w14:paraId="64EEBF76" w14:textId="544E9E18" w:rsidR="00C16FAA" w:rsidRDefault="00C05E82" w:rsidP="00956DBB">
            <w:r>
              <w:t>4</w:t>
            </w:r>
          </w:p>
        </w:tc>
        <w:tc>
          <w:tcPr>
            <w:tcW w:w="0" w:type="auto"/>
          </w:tcPr>
          <w:p w14:paraId="36340016" w14:textId="7EDADDF4" w:rsidR="00C16FAA" w:rsidRDefault="00C05E82" w:rsidP="00956DBB">
            <w:r>
              <w:t>5</w:t>
            </w:r>
          </w:p>
        </w:tc>
      </w:tr>
      <w:tr w:rsidR="00C16FAA" w14:paraId="1D7D46F0" w14:textId="77777777" w:rsidTr="00C16FAA">
        <w:tc>
          <w:tcPr>
            <w:tcW w:w="0" w:type="auto"/>
          </w:tcPr>
          <w:p w14:paraId="4978C13F" w14:textId="7429459E" w:rsidR="00C16FAA" w:rsidRDefault="004A12E6" w:rsidP="00956DBB">
            <w:r>
              <w:t>Za rok 2021 bylo uděleno 1</w:t>
            </w:r>
            <w:r w:rsidR="00C05E82">
              <w:t>5</w:t>
            </w:r>
            <w:r>
              <w:t xml:space="preserve"> pokut v celkové výši </w:t>
            </w:r>
            <w:r w:rsidR="00C05E82">
              <w:t>28 500</w:t>
            </w:r>
            <w:r>
              <w:t>,- Kč.</w:t>
            </w:r>
          </w:p>
        </w:tc>
        <w:tc>
          <w:tcPr>
            <w:tcW w:w="0" w:type="auto"/>
          </w:tcPr>
          <w:p w14:paraId="389A754A" w14:textId="6E60AC3E" w:rsidR="00C16FAA" w:rsidRDefault="00C05E82" w:rsidP="00956DBB">
            <w:r>
              <w:t>7</w:t>
            </w:r>
          </w:p>
        </w:tc>
        <w:tc>
          <w:tcPr>
            <w:tcW w:w="0" w:type="auto"/>
          </w:tcPr>
          <w:p w14:paraId="189264D6" w14:textId="0DBCAB75" w:rsidR="00C16FAA" w:rsidRDefault="00C05E82" w:rsidP="00956DBB">
            <w:r>
              <w:t>8</w:t>
            </w:r>
          </w:p>
        </w:tc>
        <w:tc>
          <w:tcPr>
            <w:tcW w:w="0" w:type="auto"/>
          </w:tcPr>
          <w:p w14:paraId="43332E20" w14:textId="186E3696" w:rsidR="00C16FAA" w:rsidRDefault="00C05E82" w:rsidP="00956DBB">
            <w:r>
              <w:t>15</w:t>
            </w:r>
          </w:p>
        </w:tc>
      </w:tr>
    </w:tbl>
    <w:p w14:paraId="6A171956" w14:textId="77777777" w:rsidR="00956DBB" w:rsidRDefault="00956DBB" w:rsidP="00956DBB"/>
    <w:p w14:paraId="1333E245" w14:textId="77777777" w:rsidR="00EA53C5" w:rsidRPr="004A0AB8" w:rsidRDefault="00EA53C5" w:rsidP="007F5D9E">
      <w:r w:rsidRPr="004A0AB8">
        <w:t>Oblasti kontrol:</w:t>
      </w:r>
    </w:p>
    <w:p w14:paraId="487C255E" w14:textId="23E924CA" w:rsidR="00EA53C5" w:rsidRPr="004A0AB8" w:rsidRDefault="00EA53C5" w:rsidP="007F5D9E">
      <w:r w:rsidRPr="007F5D9E">
        <w:rPr>
          <w:b/>
          <w:bCs/>
        </w:rPr>
        <w:t>živnost volná</w:t>
      </w:r>
      <w:r w:rsidRPr="004A0AB8">
        <w:t xml:space="preserve"> – obor činností – </w:t>
      </w:r>
      <w:r w:rsidR="003443D6">
        <w:t xml:space="preserve">ubytovací služby, </w:t>
      </w:r>
      <w:r w:rsidRPr="004A0AB8">
        <w:t>velkoobchod a maloobchod, zprostředkování obchodu a služeb, zastavárenská činnost a maloobchod s použitým zbožím, provozování cestovní agentury,</w:t>
      </w:r>
      <w:r w:rsidR="003D4470">
        <w:t xml:space="preserve"> prodej květin</w:t>
      </w:r>
      <w:r w:rsidRPr="004A0AB8">
        <w:t>, služby v oblasti administrativní správy, mimoškolní výchova a vzdělávání, pořádání kurzů,</w:t>
      </w:r>
      <w:r w:rsidR="00245847">
        <w:t xml:space="preserve"> opravy motorových vozidel a autobazary.</w:t>
      </w:r>
    </w:p>
    <w:p w14:paraId="5DB258BE" w14:textId="77777777" w:rsidR="00EA53C5" w:rsidRPr="004A0AB8" w:rsidRDefault="00EA53C5" w:rsidP="007F5D9E">
      <w:r w:rsidRPr="007F5D9E">
        <w:rPr>
          <w:b/>
          <w:bCs/>
        </w:rPr>
        <w:t>živnost řemeslná</w:t>
      </w:r>
      <w:r w:rsidRPr="004A0AB8">
        <w:t xml:space="preserve"> – hostinská činnost, pedikúra, manikúra, holičství a kadeřnictví, pekařství, cukrářství,</w:t>
      </w:r>
    </w:p>
    <w:p w14:paraId="1E0369CF" w14:textId="14B131D4" w:rsidR="00EA53C5" w:rsidRPr="004A0AB8" w:rsidRDefault="00EA53C5" w:rsidP="007F5D9E">
      <w:r w:rsidRPr="007F5D9E">
        <w:rPr>
          <w:b/>
          <w:bCs/>
        </w:rPr>
        <w:t>koncesovaná živnost</w:t>
      </w:r>
      <w:r w:rsidRPr="004A0AB8">
        <w:t xml:space="preserve"> – </w:t>
      </w:r>
      <w:r w:rsidR="00B51EA1">
        <w:t>vývoj,</w:t>
      </w:r>
      <w:r w:rsidR="003F3579">
        <w:t xml:space="preserve"> výroba, opravy, úpravy</w:t>
      </w:r>
      <w:r w:rsidR="00B51EA1">
        <w:t>,</w:t>
      </w:r>
      <w:r w:rsidR="003F3579">
        <w:t xml:space="preserve"> přeprava, nákup</w:t>
      </w:r>
      <w:r w:rsidR="00B51EA1">
        <w:t>,</w:t>
      </w:r>
      <w:r w:rsidR="003F3579">
        <w:t xml:space="preserve"> prodej, půjčování</w:t>
      </w:r>
      <w:r w:rsidR="00B51EA1">
        <w:t>,</w:t>
      </w:r>
      <w:r w:rsidR="003F3579">
        <w:t xml:space="preserve"> </w:t>
      </w:r>
      <w:r w:rsidR="00B51EA1">
        <w:t>uschovávání,</w:t>
      </w:r>
      <w:r w:rsidR="003F3579">
        <w:t xml:space="preserve"> </w:t>
      </w:r>
      <w:r w:rsidR="00B51EA1">
        <w:t xml:space="preserve">znehodnocování a ničení zbraní a střeliva, provozování střelnic a výuka a výcvik ve střelbě se </w:t>
      </w:r>
      <w:r w:rsidR="003F3579">
        <w:t>zbraní,</w:t>
      </w:r>
      <w:r w:rsidR="003F3579" w:rsidRPr="004A0AB8">
        <w:t xml:space="preserve"> proděj</w:t>
      </w:r>
      <w:r w:rsidRPr="004A0AB8">
        <w:t xml:space="preserve"> kvasného lihu, konzumního lihu a lihovin, cestovní kancelář</w:t>
      </w:r>
      <w:r w:rsidR="00FB7390" w:rsidRPr="004A0AB8">
        <w:t>, silniční motorová doprava,</w:t>
      </w:r>
    </w:p>
    <w:p w14:paraId="03FEFC8D" w14:textId="77777777" w:rsidR="00EA53C5" w:rsidRPr="004A0AB8" w:rsidRDefault="00EA53C5" w:rsidP="007F5D9E">
      <w:r w:rsidRPr="007F5D9E">
        <w:rPr>
          <w:b/>
          <w:bCs/>
        </w:rPr>
        <w:t>živnost vázaná</w:t>
      </w:r>
      <w:r w:rsidRPr="004A0AB8">
        <w:t xml:space="preserve"> – obchod se zvířaty určenými pro zájmové chovy, podnikání v oblasti nakládání s nebezpečnými odpady, masérské, rekondiční a regenerační služby,</w:t>
      </w:r>
    </w:p>
    <w:p w14:paraId="682B523C" w14:textId="77777777" w:rsidR="00EA53C5" w:rsidRDefault="00EA53C5" w:rsidP="00956DBB"/>
    <w:p w14:paraId="60FEBDA8" w14:textId="5F68EDAC" w:rsidR="00956DBB" w:rsidRDefault="00956DBB" w:rsidP="00956DBB">
      <w:r>
        <w:t>Byl prováděn dozor vycházející z vlastní úřední činnosti jako je vyhledávání informací z</w:t>
      </w:r>
      <w:r w:rsidR="00BF0332">
        <w:t>e</w:t>
      </w:r>
      <w:r>
        <w:t xml:space="preserve"> živnostenského rejstříku, sledování reklamních letáků</w:t>
      </w:r>
      <w:r w:rsidR="00BF0332">
        <w:t xml:space="preserve"> a</w:t>
      </w:r>
      <w:r>
        <w:t xml:space="preserve"> inzerátů v periodickém tisku, internetových strán</w:t>
      </w:r>
      <w:r w:rsidR="00BF0332">
        <w:t>ek</w:t>
      </w:r>
      <w:r>
        <w:t xml:space="preserve"> a porovnávání zjištění </w:t>
      </w:r>
      <w:r w:rsidR="00BF0332">
        <w:t xml:space="preserve">z těchto médií </w:t>
      </w:r>
      <w:r>
        <w:t xml:space="preserve">se skutečným stavem u zkoumaného subjektu. Kontrolní činnost byla </w:t>
      </w:r>
      <w:r w:rsidR="00BF0332">
        <w:t xml:space="preserve">dále </w:t>
      </w:r>
      <w:r>
        <w:t xml:space="preserve">vykonávána na základě upozornění, podnětů od občanů a postoupení od dalších správních orgánů a institucí veřejné správy. Kontroly ochrany spotřebitele byly zaměřeny převážně na seznámení zákazníka s cenou nabízených výrobků, </w:t>
      </w:r>
      <w:r w:rsidR="00BF0332">
        <w:t xml:space="preserve">na kvalitě </w:t>
      </w:r>
      <w:r>
        <w:t>poskytovaných služeb v oblasti obchodu a služeb. Živnostenský úřad ÚMČ Praha 21 spolupracoval při výkonu dozorové činnosti také s ostatními orgány veřejné správy, např. s Českou obchodní inspekcí, Policií ČR, Městskou policií Praha</w:t>
      </w:r>
      <w:r w:rsidR="00BF0332">
        <w:t>, Inspektorátem práce</w:t>
      </w:r>
      <w:r>
        <w:t xml:space="preserve">. </w:t>
      </w:r>
    </w:p>
    <w:p w14:paraId="019AFAC3" w14:textId="77777777" w:rsidR="003E448D" w:rsidRPr="00413F03" w:rsidRDefault="00956DBB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>
        <w:t xml:space="preserve"> </w:t>
      </w:r>
      <w:r w:rsidR="003E448D"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14:paraId="3192B45A" w14:textId="77777777" w:rsidR="003E448D" w:rsidRPr="00413F03" w:rsidRDefault="003E448D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Nejběžněji zjištěná porušení zákona ze strany podnikatelů</w:t>
      </w:r>
    </w:p>
    <w:p w14:paraId="641DAC4C" w14:textId="2E361999" w:rsidR="003E448D" w:rsidRPr="00413F03" w:rsidRDefault="003E448D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V rámci kontrolní činnosti živnostenského úřadu se v nejčastějších případech jednalo o neoznámení zahájení nebo ukončení provozování živnosti v provozovně, nedostačující označení provozovny, zejména v případě označení odpovědné osoby za činnost provozovny. V mnoha případech také podnikatelé nejsou schopni doložit doklady prokazující způsobilost provozovny pro provozování dané živnosti (v takovém </w:t>
      </w:r>
    </w:p>
    <w:p w14:paraId="5DA091A6" w14:textId="77777777" w:rsidR="00245847" w:rsidRDefault="00245847" w:rsidP="00245847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>
        <w:rPr>
          <w:rFonts w:ascii="Magra" w:eastAsia="Times New Roman" w:hAnsi="Magra" w:cs="Arial"/>
          <w:color w:val="000000"/>
          <w:sz w:val="21"/>
          <w:szCs w:val="21"/>
          <w:lang w:eastAsia="cs-CZ"/>
        </w:rPr>
        <w:lastRenderedPageBreak/>
        <w:t>případě je živnostenský úřad mimo jiné ze zákona povinen toto zjištění předat příslušným úřadům k dalšímu postupu).</w:t>
      </w:r>
    </w:p>
    <w:p w14:paraId="6167CF83" w14:textId="2ACF8F8D" w:rsidR="003E448D" w:rsidRDefault="003E448D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14:paraId="77C2D7A8" w14:textId="77777777" w:rsidR="00170DCF" w:rsidRPr="00413F03" w:rsidRDefault="00170DCF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</w:p>
    <w:p w14:paraId="6690CC53" w14:textId="77777777" w:rsidR="003E448D" w:rsidRPr="00413F03" w:rsidRDefault="003E448D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V souvislosti s přestupky upozorňujeme na vybrané povinnosti:</w:t>
      </w:r>
    </w:p>
    <w:p w14:paraId="5BFB7008" w14:textId="08D83428" w:rsidR="003E448D" w:rsidRPr="00170DCF" w:rsidRDefault="003E448D" w:rsidP="00170DCF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170DCF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Podnikatel je povinen zahájení a ukončení provozování živnosti v provozovně oznámit </w:t>
      </w:r>
      <w:r w:rsidRPr="00170DCF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předem</w:t>
      </w:r>
      <w:r w:rsidRPr="00170DCF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živnostenskému úřadu, v opačném případě bude podnikateli za tento nedostatek uložena sankce.</w:t>
      </w:r>
    </w:p>
    <w:p w14:paraId="5805C19D" w14:textId="77777777" w:rsidR="003E448D" w:rsidRPr="00413F03" w:rsidRDefault="003E448D" w:rsidP="003E448D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Provozovna musí být </w:t>
      </w:r>
      <w:r w:rsidRPr="00413F03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trvale a zvenčí viditelně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označena:</w:t>
      </w:r>
    </w:p>
    <w:p w14:paraId="6FE194A6" w14:textId="77777777" w:rsidR="003E448D" w:rsidRPr="00413F03" w:rsidRDefault="003E448D" w:rsidP="003E448D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obchodní firmou, názvem nebo jménem a příjmením podnikatele;</w:t>
      </w:r>
    </w:p>
    <w:p w14:paraId="3C10A4BB" w14:textId="77777777" w:rsidR="003E448D" w:rsidRPr="00413F03" w:rsidRDefault="003E448D" w:rsidP="003E448D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identifikačním číslem osoby;</w:t>
      </w:r>
    </w:p>
    <w:p w14:paraId="658C80A9" w14:textId="77777777" w:rsidR="003E448D" w:rsidRPr="00413F03" w:rsidRDefault="003E448D" w:rsidP="003E448D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u w:val="single"/>
          <w:lang w:eastAsia="cs-CZ"/>
        </w:rPr>
        <w:t>mobilní provozovna a automat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musí být dále označeny údajem o adrese sídla.</w:t>
      </w:r>
    </w:p>
    <w:p w14:paraId="25B3AD02" w14:textId="77777777" w:rsidR="00170DCF" w:rsidRDefault="00170DCF" w:rsidP="003E448D">
      <w:pPr>
        <w:shd w:val="clear" w:color="auto" w:fill="FFFFFF"/>
        <w:spacing w:after="120" w:line="240" w:lineRule="auto"/>
        <w:ind w:left="284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</w:p>
    <w:p w14:paraId="3242DE6C" w14:textId="77777777" w:rsidR="00170DCF" w:rsidRDefault="00170DCF" w:rsidP="003E448D">
      <w:pPr>
        <w:shd w:val="clear" w:color="auto" w:fill="FFFFFF"/>
        <w:spacing w:after="120" w:line="240" w:lineRule="auto"/>
        <w:ind w:left="284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</w:p>
    <w:p w14:paraId="5A30AE5B" w14:textId="7900E44A" w:rsidR="003E448D" w:rsidRPr="00413F03" w:rsidRDefault="003E448D" w:rsidP="003E448D">
      <w:pPr>
        <w:shd w:val="clear" w:color="auto" w:fill="FFFFFF"/>
        <w:spacing w:after="120" w:line="240" w:lineRule="auto"/>
        <w:ind w:left="284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Provozovna určená pro prodej zboží nebo poskytování služeb spotřebitelům, musí být </w:t>
      </w:r>
      <w:r w:rsidRPr="00413F03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trvale a zvenčí viditelně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označena </w:t>
      </w:r>
      <w:r w:rsidRPr="00413F03">
        <w:rPr>
          <w:rFonts w:ascii="Magra" w:eastAsia="Times New Roman" w:hAnsi="Magra" w:cs="Arial"/>
          <w:b/>
          <w:bCs/>
          <w:color w:val="000000"/>
          <w:sz w:val="21"/>
          <w:szCs w:val="21"/>
          <w:lang w:eastAsia="cs-CZ"/>
        </w:rPr>
        <w:t>také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:</w:t>
      </w:r>
    </w:p>
    <w:p w14:paraId="189DC688" w14:textId="77777777" w:rsidR="003E448D" w:rsidRPr="00413F03" w:rsidRDefault="003E448D" w:rsidP="003E448D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jménem a příjmením osoby odpovědné za činnost provozovny (s výjimkou automatů);</w:t>
      </w:r>
    </w:p>
    <w:p w14:paraId="77D61157" w14:textId="77777777" w:rsidR="003E448D" w:rsidRPr="00413F03" w:rsidRDefault="003E448D" w:rsidP="003E448D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prodejní nebo provozní dobou (s výjimkou automatů a mobilní provozovny);</w:t>
      </w:r>
    </w:p>
    <w:p w14:paraId="6A6430D0" w14:textId="77777777" w:rsidR="003E448D" w:rsidRPr="00413F03" w:rsidRDefault="003E448D" w:rsidP="003E448D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kategorií a třídou u ubytovacího zařízení poskytujícího přechodné ubytování.</w:t>
      </w:r>
    </w:p>
    <w:p w14:paraId="20B17F4B" w14:textId="77777777" w:rsidR="003E448D" w:rsidRPr="00413F03" w:rsidRDefault="003E448D" w:rsidP="003E448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Při uzavření provozovny určené pro prodej zboží nebo poskytování služby je podnikatel povinen, nebrání-li tomu závažné důvody, předem na vhodném a zvenčí viditelném místě označit počátek a konec uzavření (s výjimkou automatů a mobilní provozovny).</w:t>
      </w:r>
    </w:p>
    <w:p w14:paraId="546D3105" w14:textId="77777777" w:rsidR="003E448D" w:rsidRPr="00413F03" w:rsidRDefault="003E448D" w:rsidP="003E448D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Podnikatel je povinen viditelně označit obchodní firmou, názvem nebo jménem a příjmením a identifikačním číslem osoby objekt, v němž má sídlo, </w:t>
      </w:r>
      <w:proofErr w:type="gramStart"/>
      <w:r w:rsidRPr="00413F03">
        <w:rPr>
          <w:rFonts w:ascii="Magra" w:eastAsia="Times New Roman" w:hAnsi="Magra" w:cs="Arial"/>
          <w:color w:val="000000"/>
          <w:sz w:val="21"/>
          <w:szCs w:val="21"/>
          <w:u w:val="single"/>
          <w:lang w:eastAsia="cs-CZ"/>
        </w:rPr>
        <w:t>liší</w:t>
      </w:r>
      <w:proofErr w:type="gramEnd"/>
      <w:r w:rsidRPr="00413F03">
        <w:rPr>
          <w:rFonts w:ascii="Magra" w:eastAsia="Times New Roman" w:hAnsi="Magra" w:cs="Arial"/>
          <w:color w:val="000000"/>
          <w:sz w:val="21"/>
          <w:szCs w:val="21"/>
          <w:u w:val="single"/>
          <w:lang w:eastAsia="cs-CZ"/>
        </w:rPr>
        <w:t>-li se od bydliště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.</w:t>
      </w:r>
    </w:p>
    <w:p w14:paraId="7BFE5F4F" w14:textId="315D76FD" w:rsidR="003E448D" w:rsidRPr="00413F03" w:rsidRDefault="003E448D" w:rsidP="003E448D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Jestliže adresa sídla podnikatele není totožná s adresou jeho bydliště, je povinností podnikatele prokázat, na žádost živnostenského úřadu, dle</w:t>
      </w:r>
      <w:r w:rsidR="00AF75B2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ust</w:t>
      </w:r>
      <w:r w:rsidR="00AF75B2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anovení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 xml:space="preserve"> § 31 odst. 2 živnostenského zákona právní důvod pro užívání prostor, v nichž má na území České republiky sídlo. Pokud je sídlo shodné s místem bydliště, nemusí tento právní důvod podnikatel prokazovat, s výjimkou případů, kdy je bydliště umístěno na adrese sídla ohlašovny, zvláštní matriky nebo na adrese sídla správního orgánu, který úředně zrušil údaj o místu hlášeného pobytu na území České republiky.</w:t>
      </w:r>
    </w:p>
    <w:p w14:paraId="689B5960" w14:textId="77777777" w:rsidR="003E448D" w:rsidRPr="00413F03" w:rsidRDefault="003E448D" w:rsidP="003E448D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Podnikatel může vykonávat pouze činnosti, na které má živnostenské oprávnění. V této souvislosti upozorňujeme podnikatele na existenci nařízení vlády 278/2008 Sb., o obsahových náplních jednotlivých živností, ve znění pozdějších předpisů. Zde se podnikatel může dozvědět, jaké činnosti lze provádět v rámci vybrané živnosti, případně na které činnosti již je potřeba jiné živnostenské oprávnění.</w:t>
      </w:r>
    </w:p>
    <w:p w14:paraId="2AC0A57F" w14:textId="77777777" w:rsidR="003E448D" w:rsidRPr="00413F03" w:rsidRDefault="003E448D" w:rsidP="003E448D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Každý podnikatel musí uvádět na obchodních listinách a v rámci informací zpřístupňovaných veřejnosti prostřednictvím dálkového přístupu (tj. na svých webových stránkách) své jméno a sídlo. Podnikatel zapsaný v obchodním rejstříku uvede na obchodní listině též údaj o tomto zápisu včetně oddílu a vložky; podnikatel zapsaný v jiném veřejném rejstříku uvede údaj o svém zápisu do tohoto rejstříku; podnikatel nezapsaný ve veřejném rejstříku uvede údaj o svém zápisu do jiné evidence, například do živnostenského rejstříku. Byl-li podnikateli přidělen identifikující údaj, uvede i ten (zde se jedná zejména o IČO).</w:t>
      </w:r>
    </w:p>
    <w:p w14:paraId="3B99C903" w14:textId="77777777" w:rsidR="003E448D" w:rsidRPr="00413F03" w:rsidRDefault="003E448D" w:rsidP="003E448D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14:paraId="15C143B2" w14:textId="77777777" w:rsidR="003E448D" w:rsidRDefault="003E448D" w:rsidP="003E448D"/>
    <w:p w14:paraId="27BECB85" w14:textId="324EC1B5" w:rsidR="00C16FAA" w:rsidRDefault="00C16FAA" w:rsidP="00956DBB"/>
    <w:p w14:paraId="5D927FF6" w14:textId="77777777" w:rsidR="00956DBB" w:rsidRPr="00C16FAA" w:rsidRDefault="00956DBB" w:rsidP="00956DBB">
      <w:pPr>
        <w:rPr>
          <w:b/>
          <w:bCs/>
        </w:rPr>
      </w:pPr>
      <w:r w:rsidRPr="00C16FAA">
        <w:rPr>
          <w:b/>
          <w:bCs/>
        </w:rPr>
        <w:t xml:space="preserve">Nejčastější zjištěná pochybení: </w:t>
      </w:r>
    </w:p>
    <w:p w14:paraId="3AE2375E" w14:textId="77777777" w:rsidR="00170DCF" w:rsidRDefault="00170DCF" w:rsidP="00956DBB"/>
    <w:p w14:paraId="5843E79E" w14:textId="4A5BB2AB" w:rsidR="00956DBB" w:rsidRDefault="00956DBB" w:rsidP="00956DBB">
      <w:r>
        <w:t xml:space="preserve">Na úseku živnostenského zákona: </w:t>
      </w:r>
    </w:p>
    <w:p w14:paraId="1CC3B7B2" w14:textId="59AAB6CD" w:rsidR="003443D6" w:rsidRDefault="003443D6" w:rsidP="003443D6">
      <w:r>
        <w:t xml:space="preserve">§ 11 odst. 5,7,8 provoz živnosti bez odpovědného zástupce, </w:t>
      </w:r>
    </w:p>
    <w:p w14:paraId="0182F23E" w14:textId="77777777" w:rsidR="003443D6" w:rsidRDefault="003443D6" w:rsidP="00956DBB"/>
    <w:p w14:paraId="40197DC7" w14:textId="7F1C73C7" w:rsidR="00956DBB" w:rsidRDefault="00956DBB" w:rsidP="00956DBB">
      <w:r>
        <w:t>§ 17 odst. 3 neoznámení zahájení nebo ukončení provozování živnosti v provozovně, § 31 odst. 16 neoznámení na jaké adrese lze vypořádat případné závazky při ukončení činnosti v provozovně, § 17 odst. 7 živnostenského</w:t>
      </w:r>
      <w:r w:rsidR="00FB7390">
        <w:t xml:space="preserve"> </w:t>
      </w:r>
      <w:r w:rsidR="001B7A7D">
        <w:t>zákona – neoznačení</w:t>
      </w:r>
      <w:r>
        <w:t xml:space="preserve"> provozovny jménem a příjmením podnikatele, § 17 odst. 8 písm</w:t>
      </w:r>
      <w:r w:rsidR="00BF0332">
        <w:t>en</w:t>
      </w:r>
      <w:r>
        <w:t xml:space="preserve">o a), b) neoznačení provozovny jménem a příjmením osoby zodpovědné za činnost provozovny, </w:t>
      </w:r>
    </w:p>
    <w:p w14:paraId="2CFB0BEB" w14:textId="77777777" w:rsidR="00956DBB" w:rsidRDefault="00956DBB" w:rsidP="00956DBB">
      <w:r>
        <w:t xml:space="preserve">§ 31 odst. 2 neoznačení sídla, </w:t>
      </w:r>
    </w:p>
    <w:p w14:paraId="3604FAEE" w14:textId="5562E3EF" w:rsidR="00956DBB" w:rsidRDefault="00956DBB" w:rsidP="00956DBB">
      <w:r>
        <w:t>§ 31 odst. 2 neprokázání na žádost živnostenského úřadu právní</w:t>
      </w:r>
      <w:r w:rsidR="00BF0332">
        <w:t>ho</w:t>
      </w:r>
      <w:r>
        <w:t xml:space="preserve"> důvod</w:t>
      </w:r>
      <w:r w:rsidR="00BF0332">
        <w:t>u</w:t>
      </w:r>
      <w:r>
        <w:t xml:space="preserve"> užívání prostor, kde má podnikatel umístěno své sídlo. </w:t>
      </w:r>
    </w:p>
    <w:p w14:paraId="781B5E04" w14:textId="77777777" w:rsidR="00956DBB" w:rsidRDefault="00956DBB" w:rsidP="00956DBB">
      <w:r>
        <w:t xml:space="preserve"> </w:t>
      </w:r>
    </w:p>
    <w:p w14:paraId="4CF2AC53" w14:textId="77777777" w:rsidR="00956DBB" w:rsidRPr="00C16FAA" w:rsidRDefault="00956DBB" w:rsidP="00956DBB">
      <w:pPr>
        <w:rPr>
          <w:b/>
          <w:bCs/>
        </w:rPr>
      </w:pPr>
      <w:r w:rsidRPr="00C16FAA">
        <w:rPr>
          <w:b/>
          <w:bCs/>
        </w:rPr>
        <w:t xml:space="preserve">Nejzávažnější zjištěná porušení: </w:t>
      </w:r>
    </w:p>
    <w:p w14:paraId="14C9C326" w14:textId="77777777" w:rsidR="00956DBB" w:rsidRDefault="00956DBB" w:rsidP="00956DBB">
      <w:r>
        <w:t xml:space="preserve">Na úseku živnostenského zákona: </w:t>
      </w:r>
    </w:p>
    <w:p w14:paraId="1B5037DD" w14:textId="5AA51E23" w:rsidR="00956DBB" w:rsidRDefault="00956DBB" w:rsidP="00956DBB">
      <w:r>
        <w:t>Bylo zjištěno</w:t>
      </w:r>
      <w:r w:rsidR="00F33914">
        <w:t xml:space="preserve"> </w:t>
      </w:r>
      <w:r>
        <w:t>podnikání</w:t>
      </w:r>
      <w:r w:rsidR="00F33914">
        <w:t xml:space="preserve"> bez odpovědného zástupce</w:t>
      </w:r>
      <w:r>
        <w:t xml:space="preserve">, tj. výkon činnosti, která je živností </w:t>
      </w:r>
      <w:r w:rsidR="00F33914">
        <w:t>vyžadující odborné znalosti</w:t>
      </w:r>
      <w:r>
        <w:t xml:space="preserve"> u </w:t>
      </w:r>
      <w:r w:rsidR="00231AEA">
        <w:t>tří</w:t>
      </w:r>
      <w:r>
        <w:t xml:space="preserve"> kontrolovan</w:t>
      </w:r>
      <w:r w:rsidR="003F3579">
        <w:t xml:space="preserve">ých podnikatelů. U </w:t>
      </w:r>
      <w:r w:rsidR="00231AEA">
        <w:t>všech</w:t>
      </w:r>
      <w:r w:rsidR="003F3579">
        <w:t xml:space="preserve"> byla udělena pokuta</w:t>
      </w:r>
      <w:r>
        <w:t xml:space="preserve">. </w:t>
      </w:r>
    </w:p>
    <w:p w14:paraId="6F7BCF75" w14:textId="3C40368C" w:rsidR="00956DBB" w:rsidRDefault="00956DBB" w:rsidP="00956DBB">
      <w:r>
        <w:t xml:space="preserve">Dle § 31 odst. 2 </w:t>
      </w:r>
      <w:r w:rsidR="00BF0332">
        <w:t xml:space="preserve">z důvodu </w:t>
      </w:r>
      <w:r>
        <w:t>neprokázání na žádost živnostenského úřadu právní</w:t>
      </w:r>
      <w:r w:rsidR="00BF0332">
        <w:t>ho</w:t>
      </w:r>
      <w:r>
        <w:t xml:space="preserve"> důvod</w:t>
      </w:r>
      <w:r w:rsidR="00BF0332">
        <w:t xml:space="preserve">u </w:t>
      </w:r>
      <w:r>
        <w:t>užívání prostor, kde má podnikatel umístěno své sídlo</w:t>
      </w:r>
      <w:r w:rsidR="00BF0332">
        <w:t>,</w:t>
      </w:r>
      <w:r>
        <w:t xml:space="preserve"> byl</w:t>
      </w:r>
      <w:r w:rsidR="00BF0332">
        <w:t>y</w:t>
      </w:r>
      <w:r>
        <w:t xml:space="preserve"> sankčně zrušen</w:t>
      </w:r>
      <w:r w:rsidR="00BF0332">
        <w:t>y</w:t>
      </w:r>
      <w:r>
        <w:t xml:space="preserve"> dle § 58 odst. 1 písmene d)</w:t>
      </w:r>
      <w:r w:rsidR="00BF0332">
        <w:t xml:space="preserve"> </w:t>
      </w:r>
      <w:r w:rsidR="00231AEA">
        <w:t>dvě</w:t>
      </w:r>
      <w:r w:rsidR="00567520">
        <w:t xml:space="preserve"> </w:t>
      </w:r>
      <w:r>
        <w:t>živnostensk</w:t>
      </w:r>
      <w:r w:rsidR="00046D59">
        <w:t>á</w:t>
      </w:r>
      <w:r>
        <w:t xml:space="preserve"> oprávnění. </w:t>
      </w:r>
    </w:p>
    <w:p w14:paraId="5A982D31" w14:textId="1601C431" w:rsidR="00D3512B" w:rsidRDefault="00956DBB" w:rsidP="00956DBB">
      <w:r>
        <w:t>Dle § 58 odst. 1 písmene b) – u podnikatele nastanou překážky podle § 8 – insolvence, konkurs</w:t>
      </w:r>
      <w:r w:rsidR="001B7A7D">
        <w:t>,</w:t>
      </w:r>
      <w:r>
        <w:t xml:space="preserve"> byl</w:t>
      </w:r>
      <w:r w:rsidR="00231AEA">
        <w:t>o</w:t>
      </w:r>
      <w:r>
        <w:t xml:space="preserve"> </w:t>
      </w:r>
      <w:r w:rsidR="00231AEA">
        <w:t>zahájeno správní řízení u dvou podnikatelů</w:t>
      </w:r>
      <w:r>
        <w:t>.</w:t>
      </w:r>
    </w:p>
    <w:p w14:paraId="34CE930B" w14:textId="62CFFAEC" w:rsidR="004F4159" w:rsidRPr="00413F03" w:rsidRDefault="004F4159" w:rsidP="004F4159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 roce 20</w:t>
      </w:r>
      <w:r>
        <w:rPr>
          <w:rFonts w:ascii="Magra" w:eastAsia="Times New Roman" w:hAnsi="Magra" w:cs="Arial"/>
          <w:color w:val="000000"/>
          <w:sz w:val="21"/>
          <w:szCs w:val="21"/>
          <w:lang w:eastAsia="cs-CZ"/>
        </w:rPr>
        <w:t>2</w:t>
      </w:r>
      <w:r w:rsidR="004121BC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2</w:t>
      </w: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byly všechny provedené kontroly zaměřeny na dodržování podmínek živnostenského podnikání podle živnostenského zákona</w:t>
      </w:r>
      <w:r w:rsidR="004121BC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.</w:t>
      </w:r>
    </w:p>
    <w:p w14:paraId="73EBD2D4" w14:textId="77777777" w:rsidR="004F4159" w:rsidRPr="00413F03" w:rsidRDefault="004F4159" w:rsidP="004F4159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413F03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14:paraId="52196F45" w14:textId="77777777" w:rsidR="004F4159" w:rsidRDefault="004F4159" w:rsidP="00956DBB"/>
    <w:sectPr w:rsidR="004F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ra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14A"/>
    <w:multiLevelType w:val="multilevel"/>
    <w:tmpl w:val="642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C7E1F"/>
    <w:multiLevelType w:val="multilevel"/>
    <w:tmpl w:val="73281F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D1941"/>
    <w:multiLevelType w:val="multilevel"/>
    <w:tmpl w:val="24E6E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72554"/>
    <w:multiLevelType w:val="multilevel"/>
    <w:tmpl w:val="964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296058">
    <w:abstractNumId w:val="1"/>
  </w:num>
  <w:num w:numId="2" w16cid:durableId="1149714406">
    <w:abstractNumId w:val="3"/>
  </w:num>
  <w:num w:numId="3" w16cid:durableId="188419437">
    <w:abstractNumId w:val="0"/>
  </w:num>
  <w:num w:numId="4" w16cid:durableId="148055135">
    <w:abstractNumId w:val="2"/>
    <w:lvlOverride w:ilvl="0">
      <w:startOverride w:val="3"/>
    </w:lvlOverride>
  </w:num>
  <w:num w:numId="5" w16cid:durableId="1069304675">
    <w:abstractNumId w:val="2"/>
    <w:lvlOverride w:ilvl="0">
      <w:startOverride w:val="4"/>
    </w:lvlOverride>
  </w:num>
  <w:num w:numId="6" w16cid:durableId="476266637">
    <w:abstractNumId w:val="2"/>
    <w:lvlOverride w:ilvl="0">
      <w:startOverride w:val="5"/>
    </w:lvlOverride>
  </w:num>
  <w:num w:numId="7" w16cid:durableId="1285844152">
    <w:abstractNumId w:val="2"/>
    <w:lvlOverride w:ilvl="0">
      <w:startOverride w:val="6"/>
    </w:lvlOverride>
  </w:num>
  <w:num w:numId="8" w16cid:durableId="496767824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BB"/>
    <w:rsid w:val="00046D59"/>
    <w:rsid w:val="000B358D"/>
    <w:rsid w:val="000D3E58"/>
    <w:rsid w:val="000E01A8"/>
    <w:rsid w:val="000F5E59"/>
    <w:rsid w:val="00170DCF"/>
    <w:rsid w:val="00197949"/>
    <w:rsid w:val="001B7A7D"/>
    <w:rsid w:val="00231AEA"/>
    <w:rsid w:val="00245847"/>
    <w:rsid w:val="002B6A94"/>
    <w:rsid w:val="00311B51"/>
    <w:rsid w:val="003443D6"/>
    <w:rsid w:val="003D4470"/>
    <w:rsid w:val="003E448D"/>
    <w:rsid w:val="003F3579"/>
    <w:rsid w:val="003F3FA1"/>
    <w:rsid w:val="004121BC"/>
    <w:rsid w:val="004273E1"/>
    <w:rsid w:val="004A0AB8"/>
    <w:rsid w:val="004A12E6"/>
    <w:rsid w:val="004A5BBD"/>
    <w:rsid w:val="004F4159"/>
    <w:rsid w:val="00534901"/>
    <w:rsid w:val="00567520"/>
    <w:rsid w:val="005950AB"/>
    <w:rsid w:val="005B7A4F"/>
    <w:rsid w:val="005E3548"/>
    <w:rsid w:val="006A1397"/>
    <w:rsid w:val="007F5D9E"/>
    <w:rsid w:val="007F77D3"/>
    <w:rsid w:val="0081086F"/>
    <w:rsid w:val="008A5E90"/>
    <w:rsid w:val="008A633D"/>
    <w:rsid w:val="00943764"/>
    <w:rsid w:val="00956DBB"/>
    <w:rsid w:val="009B5F67"/>
    <w:rsid w:val="00A10DC8"/>
    <w:rsid w:val="00A379DA"/>
    <w:rsid w:val="00A872D2"/>
    <w:rsid w:val="00AB402D"/>
    <w:rsid w:val="00AF75B2"/>
    <w:rsid w:val="00B20018"/>
    <w:rsid w:val="00B47D26"/>
    <w:rsid w:val="00B51EA1"/>
    <w:rsid w:val="00BD60D4"/>
    <w:rsid w:val="00BF0332"/>
    <w:rsid w:val="00C05E82"/>
    <w:rsid w:val="00C12302"/>
    <w:rsid w:val="00C16FAA"/>
    <w:rsid w:val="00CC5C56"/>
    <w:rsid w:val="00D33311"/>
    <w:rsid w:val="00D3512B"/>
    <w:rsid w:val="00DA2858"/>
    <w:rsid w:val="00DB1CFC"/>
    <w:rsid w:val="00E85AC6"/>
    <w:rsid w:val="00EA53C5"/>
    <w:rsid w:val="00F162DC"/>
    <w:rsid w:val="00F33914"/>
    <w:rsid w:val="00FB7390"/>
    <w:rsid w:val="00FD0F83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EBD6"/>
  <w15:chartTrackingRefBased/>
  <w15:docId w15:val="{B6EA9AF4-F73E-43E7-AF92-8DB7BE2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A53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F288-6BDF-4D4C-98A9-DA3C511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1504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Mičánová Věnceslava (ÚMČ Praha 21)</dc:creator>
  <cp:keywords/>
  <dc:description/>
  <cp:lastModifiedBy>Voříšková Zuzana (ÚMČ Praha 21)</cp:lastModifiedBy>
  <cp:revision>10</cp:revision>
  <cp:lastPrinted>2023-01-25T07:11:00Z</cp:lastPrinted>
  <dcterms:created xsi:type="dcterms:W3CDTF">2023-01-24T08:56:00Z</dcterms:created>
  <dcterms:modified xsi:type="dcterms:W3CDTF">2023-01-30T14:25:00Z</dcterms:modified>
</cp:coreProperties>
</file>